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D5" w:rsidRPr="009F29C2" w:rsidRDefault="00BC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C2">
        <w:rPr>
          <w:rFonts w:ascii="Times New Roman" w:hAnsi="Times New Roman" w:cs="Times New Roman"/>
          <w:b/>
          <w:sz w:val="24"/>
          <w:szCs w:val="24"/>
        </w:rPr>
        <w:t>VII SJUERR</w:t>
      </w:r>
      <w:r>
        <w:rPr>
          <w:rFonts w:ascii="Times New Roman" w:hAnsi="Times New Roman" w:cs="Times New Roman"/>
          <w:b/>
          <w:sz w:val="24"/>
          <w:szCs w:val="24"/>
        </w:rPr>
        <w:t xml:space="preserve"> GT 1</w:t>
      </w:r>
      <w:r>
        <w:rPr>
          <w:rFonts w:ascii="Times New Roman" w:hAnsi="Times New Roman" w:cs="Times New Roman"/>
          <w:b/>
          <w:sz w:val="24"/>
          <w:szCs w:val="24"/>
        </w:rPr>
        <w:t xml:space="preserve"> - APRESENTAÇÕES </w:t>
      </w:r>
      <w:r w:rsidR="00015B36">
        <w:rPr>
          <w:rFonts w:ascii="Times New Roman" w:hAnsi="Times New Roman" w:cs="Times New Roman"/>
          <w:b/>
          <w:sz w:val="24"/>
          <w:szCs w:val="24"/>
        </w:rPr>
        <w:t>DIA</w:t>
      </w:r>
      <w:r>
        <w:rPr>
          <w:rFonts w:ascii="Times New Roman" w:hAnsi="Times New Roman" w:cs="Times New Roman"/>
          <w:b/>
          <w:sz w:val="24"/>
          <w:szCs w:val="24"/>
        </w:rPr>
        <w:t xml:space="preserve"> 14/06</w:t>
      </w:r>
      <w:r w:rsidR="001A0B88">
        <w:rPr>
          <w:rFonts w:ascii="Times New Roman" w:hAnsi="Times New Roman" w:cs="Times New Roman"/>
          <w:b/>
          <w:sz w:val="24"/>
          <w:szCs w:val="24"/>
        </w:rPr>
        <w:t>, SALA 17</w:t>
      </w:r>
    </w:p>
    <w:tbl>
      <w:tblPr>
        <w:tblStyle w:val="GradeClara"/>
        <w:tblW w:w="13164" w:type="dxa"/>
        <w:tblInd w:w="-39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3373"/>
        <w:gridCol w:w="1188"/>
        <w:gridCol w:w="6419"/>
        <w:gridCol w:w="1116"/>
        <w:gridCol w:w="1068"/>
      </w:tblGrid>
      <w:tr w:rsidR="00BC6795" w:rsidRPr="00432EDE" w:rsidTr="00BC6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1230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GT-LP</w:t>
            </w:r>
          </w:p>
        </w:tc>
        <w:tc>
          <w:tcPr>
            <w:tcW w:w="6643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134" w:type="dxa"/>
            <w:tcBorders>
              <w:bottom w:val="single" w:sz="18" w:space="0" w:color="000001"/>
            </w:tcBorders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HORA</w:t>
            </w:r>
          </w:p>
        </w:tc>
        <w:tc>
          <w:tcPr>
            <w:tcW w:w="1086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SALA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auto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Sâmhara Suzany Vieira Brandão e 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Alberto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13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Correia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de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Oliveira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Filho</w:t>
            </w:r>
          </w:p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auto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MÍDIA E O DIREITO PENAL: Uma análise acerca dos impactos causado pela propagaç</w:t>
            </w:r>
            <w:bookmarkStart w:id="0" w:name="_GoBack"/>
            <w:bookmarkEnd w:id="0"/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ão da mídia nos julgamentos de casos criminais de grande repercussão</w:t>
            </w:r>
          </w:p>
        </w:tc>
        <w:tc>
          <w:tcPr>
            <w:tcW w:w="1134" w:type="dxa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08:00</w:t>
            </w:r>
          </w:p>
        </w:tc>
        <w:tc>
          <w:tcPr>
            <w:tcW w:w="1086" w:type="dxa"/>
            <w:shd w:val="clear" w:color="auto" w:fill="auto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Yasmin Fernandes Estevão dos Santos 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Mota e Marcello Renault Menezes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Constitucionalidade da multa por negativa do bafômetro e o princípio da não autoincriminação e da presunção de inocência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Vaneyla Lima Barbosa Alves 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DEPOIMENTO ESPECIAL DE CRIANÇAS E ADOLESCENTES EM SITUAÇÃO DE VIOLÊNCIA NA COMARCA DE MUCAJAÍ E SUA IMPORTÂNCIA PARA A GARANTIA E RESPEITO AO PRINCÍPIO DA DIGNIDADE DA PESSOA HUMANA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 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JULIANA ALMEIDA LEVINO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N.º 9.434/97 E AS FALHAS NA FISCALIZAÇÃO DE REDES CLANDESTINAS DE TRÁFICO DE ÓRGÃOS NO BRASIL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Marcos Pires da Silva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crimigração e a política migratória brasileira frente aos direitos do imigrante venezueleano em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Julianna de kássia Oliveira Alves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ART. 13 DA LEI DE ABUSO DE AUTORIDADE E SEUS REFLEXOS NA</w:t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ATIVIDADE DA POLÍCIA JUDICIÁRIA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Thais Andressa Paz Carvalho, Pierre Santos Castro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CRIMES CONTRA HONRA PRATICADOS NAS REDES SOCIAIS E OS LIMITES DO DIREITO À LIBERDADE DE EXPRESSÃO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Debora Dantas Tamandaré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14.344/2022: A INFLUÊNCIA DA IMPRENSA MIDIÁTICA NA CONFIGURAÇÃO DE CRIMES HEDIONDOS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Paola Oliveira Melo da Silva, Alberto Correia de Oliveira Filho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DO FEMINICÍDIO: Possibilidade de aplicação da qualificadora em casos de violência contra mulheres transexuais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pt-BR"/>
              </w:rPr>
              <w:t xml:space="preserve">Matheus Fernandes de Sousa e 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Marcello Renault Menezes</w:t>
            </w:r>
          </w:p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12.850/2013 e os reflexos da informatização do Direito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Jorge Mário Peixoto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IMPORTÂNCIA AO DIREITO DA LÍNGUA MATERNA DOS DISCENTES INDÍGENAS DA ÁREA RURAL DO MUNICÍPIO DE BOA VISTA/RR, COMO FORMA DE MANUTENÇÃO A IDENTIDADE CULTURAL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Frantchiello Costa Gutierre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inquérito nº 4781: a institucionalização do tribunal de exceção no Brasil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LETICIA HERMINIA BARBOSA RUFINO</w:t>
            </w:r>
          </w:p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BRAYLE VINICIUS DOS SANTOS XAVIER</w:t>
            </w:r>
          </w:p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RAIZA DIAS DE SOUZA</w:t>
            </w:r>
          </w:p>
          <w:p w:rsidR="00195DF7" w:rsidRPr="00432EDE" w:rsidRDefault="00195DF7" w:rsidP="00195DF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PSICOLOGIA E DIREITO: A IMPORTANCIA DA INTERDISCIPLINARIDADE DESSAS AREAS EM CONJUNTO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Brenda Letícia Cruz Alves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Socioambientalismo e justiça ambiental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Luhan Gabriel de Aguiar dos Santos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Socioambientalismo e Sustentabilidade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MAYCO DE SOUZA SAMIAS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Garimpo Ilegal na Terra Yanomami em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Eumária Teixeira da Silva e Sérgio Mateus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RESPONSABILIDADE CIVIL DO ESTADO POR DANOS AMBIENTAIS:  </w:t>
            </w:r>
          </w:p>
          <w:p w:rsidR="00195DF7" w:rsidRPr="00432EDE" w:rsidRDefault="00195DF7" w:rsidP="00195DF7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TEORIA DO RISCO INTEGRAL X TEORIA DO RISCO ADMINISTRATIVO</w:t>
            </w:r>
          </w:p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lastRenderedPageBreak/>
              <w:t>Áquila Barros Silvestre </w:t>
            </w:r>
          </w:p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Luiz Antônio Araújo de Souza</w:t>
            </w:r>
          </w:p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INCIDÊNCIA DO ICMS NA GERAÇÃO DE ENERGIA FOTOVOLTAICA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João Pedro Mesquita Diógenes, Hemerson Felipe de Morais Furlin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AS CONDIÇÕES DO SISTEMA PRISIONAL NO ANO DE 2017 E SUA RELAÇÃO COM AS VIOLAÇÕES AOS DIREITOS HUMANOS E A MELHORIA PÓS INTERVENÇÃO PENITENCIÁRIA FEDERAL NO ESTADO DE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Izabella Felix da Silva e Vivian Farias Sobreiro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violência institucional contra os menores infratores que cumprem medidas socioeducativas no CSE/RR e a negligenciação de crianças infratoras por parte do Estado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Hayslany Souza Cardoso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importância da criminologia como fonte de prevenção da criminalidade e de manutenção do sistema prisional brasileiro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Isabela Sofia Araújo de Andrade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O PAPEL DO ESTADO E A PROTEÇÃO INTEGRAL DE CRIANÇAS E ADOLESCENTES VENEZUELANOS NO ESTADO DE RORAIMA. VERDADE OU FICÇÃO?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Janaina Rosa Lira, Serguei Aily Franco de Camargo, Tiago Luiz Brazil</w:t>
            </w:r>
          </w:p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OBRIGATORIEDADE DA VACINA CONTRA A COVID-19 COMO LIMITADORA DO DIREITO DE IR E VIR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Ingrid Lima Pires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ART.27 DO CÓDIGO PENAL: A INIMPUTABILIDADE DOS MENORES DE 18 ANOS COMO FACILITADOR NO COMETIMENTO DE CRIMES ATRAVÉS DAS ORGANIZAÇÕES CRIMINOSAS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Ingrid Lima Pires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LEI N° 13.869: A IMPORTÂNCIA DAS REDES SOCIAIS NOS CRIMES DE ABUSO DE AUTORIDADE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Gabriela de Almeida Borges e Debora Dantas Tamandaré </w:t>
            </w:r>
          </w:p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SISTEMA PRISIONAL E O POSICIONAMENTO DOS TRIBUNAIS: UM ESTUDO SOBRE O TEMA 365 DA TESE DE REPERCUSSÃO GERAL DO STF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lastRenderedPageBreak/>
              <w:t>Hercules Rodrigues de Pinho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VALORIZAÇÃO DAS MEDIDAS ASSECURATÓRIAS NO COMBATE DE INFRAÇÕES PENAIS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DOMICIANO DE SOUZA NETO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INIMPUTABILIDADE PENAL EM RAZÃO DA 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Manielys Correia de Moura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redução da maioridade no Brasil e suas controvérsias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Douglas da Silva Borges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A EXCLUSÃO DA CULPABILIDADE NOS HOMICÍDIOS PRATICADOS POR MULHERES AOS MARIDOS AGRESSORES A LUZ DO DIREITO PENAL</w:t>
            </w:r>
          </w:p>
          <w:p w:rsidR="00195DF7" w:rsidRPr="00432EDE" w:rsidRDefault="00195DF7" w:rsidP="00195DF7">
            <w:pPr>
              <w:shd w:val="clear" w:color="auto" w:fill="FFFFFF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BRASILEIRO E PORTUGUÊS</w:t>
            </w:r>
          </w:p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Ângela Luisa Padilha Peran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14.344/2022: A VIOLÊNCIA CONTRA MENORES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Manoella Dias de Medeiros Nascimento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VIOLÊNCIA CONTRA A MULHER E A (IN)EFICÁCIA DAS MEDIDAS PROTETIVAS DE URGÊNCIA PREVISTAS NA LEI MARIA DA PENHA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195DF7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Adailson Santos da Silva, Carolina Melo de Farias e Marcello Renault Menezes</w:t>
            </w:r>
          </w:p>
          <w:p w:rsidR="00195DF7" w:rsidRPr="00432EDE" w:rsidRDefault="00195DF7" w:rsidP="00195DF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195DF7" w:rsidRPr="00432EDE" w:rsidRDefault="00195DF7" w:rsidP="00195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VIOLÊNCIA CONTRA CRIANÇAS E ADOLESCENTES NO BRASIL</w:t>
            </w:r>
          </w:p>
        </w:tc>
        <w:tc>
          <w:tcPr>
            <w:tcW w:w="1134" w:type="dxa"/>
            <w:shd w:val="clear" w:color="auto" w:fill="FFFFFF" w:themeFill="background1"/>
          </w:tcPr>
          <w:p w:rsidR="00195DF7" w:rsidRPr="00432EDE" w:rsidRDefault="00195DF7" w:rsidP="0019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195DF7" w:rsidRDefault="00195DF7" w:rsidP="0019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4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</w:tbl>
    <w:p w:rsidR="00A04BD5" w:rsidRPr="00C95CAD" w:rsidRDefault="00A04BD5">
      <w:pPr>
        <w:rPr>
          <w:rFonts w:ascii="Times New Roman" w:hAnsi="Times New Roman" w:cs="Times New Roman"/>
          <w:sz w:val="24"/>
          <w:szCs w:val="24"/>
        </w:rPr>
      </w:pPr>
    </w:p>
    <w:sectPr w:rsidR="00A04BD5" w:rsidRPr="00C95CAD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2F" w:rsidRDefault="00390B2F" w:rsidP="00A70A84">
      <w:pPr>
        <w:spacing w:after="0" w:line="240" w:lineRule="auto"/>
      </w:pPr>
      <w:r>
        <w:separator/>
      </w:r>
    </w:p>
  </w:endnote>
  <w:endnote w:type="continuationSeparator" w:id="0">
    <w:p w:rsidR="00390B2F" w:rsidRDefault="00390B2F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2F" w:rsidRDefault="00390B2F" w:rsidP="00A70A84">
      <w:pPr>
        <w:spacing w:after="0" w:line="240" w:lineRule="auto"/>
      </w:pPr>
      <w:r>
        <w:separator/>
      </w:r>
    </w:p>
  </w:footnote>
  <w:footnote w:type="continuationSeparator" w:id="0">
    <w:p w:rsidR="00390B2F" w:rsidRDefault="00390B2F" w:rsidP="00A7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5"/>
    <w:rsid w:val="00015B36"/>
    <w:rsid w:val="00035B80"/>
    <w:rsid w:val="000A33AE"/>
    <w:rsid w:val="0011140D"/>
    <w:rsid w:val="001139C7"/>
    <w:rsid w:val="00141435"/>
    <w:rsid w:val="00195DF7"/>
    <w:rsid w:val="001A0B88"/>
    <w:rsid w:val="001D6AF1"/>
    <w:rsid w:val="002125C4"/>
    <w:rsid w:val="00213504"/>
    <w:rsid w:val="00257969"/>
    <w:rsid w:val="002B3A30"/>
    <w:rsid w:val="00340953"/>
    <w:rsid w:val="00390B2F"/>
    <w:rsid w:val="003D34F3"/>
    <w:rsid w:val="00421E43"/>
    <w:rsid w:val="00427D75"/>
    <w:rsid w:val="00432EDE"/>
    <w:rsid w:val="00450A9C"/>
    <w:rsid w:val="00465C68"/>
    <w:rsid w:val="00480A74"/>
    <w:rsid w:val="004E0FC3"/>
    <w:rsid w:val="004E4212"/>
    <w:rsid w:val="004E70BE"/>
    <w:rsid w:val="00501826"/>
    <w:rsid w:val="005538CB"/>
    <w:rsid w:val="006332FA"/>
    <w:rsid w:val="006C5F9B"/>
    <w:rsid w:val="00771664"/>
    <w:rsid w:val="0077544C"/>
    <w:rsid w:val="007D3571"/>
    <w:rsid w:val="00821CFC"/>
    <w:rsid w:val="0083594A"/>
    <w:rsid w:val="0083629E"/>
    <w:rsid w:val="00895032"/>
    <w:rsid w:val="008D71B4"/>
    <w:rsid w:val="00902F3A"/>
    <w:rsid w:val="00915794"/>
    <w:rsid w:val="00922B7F"/>
    <w:rsid w:val="00942444"/>
    <w:rsid w:val="00977D7B"/>
    <w:rsid w:val="009D6DCE"/>
    <w:rsid w:val="009E3773"/>
    <w:rsid w:val="009F29C2"/>
    <w:rsid w:val="00A04BD5"/>
    <w:rsid w:val="00A25E54"/>
    <w:rsid w:val="00A26D82"/>
    <w:rsid w:val="00A36FD0"/>
    <w:rsid w:val="00A56360"/>
    <w:rsid w:val="00A70A84"/>
    <w:rsid w:val="00A77FD0"/>
    <w:rsid w:val="00B17B58"/>
    <w:rsid w:val="00B24C28"/>
    <w:rsid w:val="00B621E8"/>
    <w:rsid w:val="00B70067"/>
    <w:rsid w:val="00BC6795"/>
    <w:rsid w:val="00C1347C"/>
    <w:rsid w:val="00C3031D"/>
    <w:rsid w:val="00C95CAD"/>
    <w:rsid w:val="00D24321"/>
    <w:rsid w:val="00D967C8"/>
    <w:rsid w:val="00DE5F6B"/>
    <w:rsid w:val="00EA7697"/>
    <w:rsid w:val="00EB2E8F"/>
    <w:rsid w:val="00EE7953"/>
    <w:rsid w:val="00F66194"/>
    <w:rsid w:val="00F72253"/>
    <w:rsid w:val="00F75898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A678-FA71-4712-BC9B-208B0CF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F6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42E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B24C28"/>
    <w:rPr>
      <w:color w:val="0000FF"/>
      <w:u w:val="single"/>
    </w:rPr>
  </w:style>
  <w:style w:type="paragraph" w:customStyle="1" w:styleId="m-1935558343929245421msofootnotetext">
    <w:name w:val="m_-1935558343929245421msofootnotetext"/>
    <w:basedOn w:val="Normal"/>
    <w:rsid w:val="00B2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0A84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0A84"/>
    <w:rPr>
      <w:rFonts w:ascii="Calibri" w:eastAsia="Calibri" w:hAnsi="Calibri" w:cs="Times New Roman"/>
      <w:szCs w:val="20"/>
    </w:rPr>
  </w:style>
  <w:style w:type="character" w:styleId="Refdenotaderodap">
    <w:name w:val="footnote reference"/>
    <w:uiPriority w:val="99"/>
    <w:semiHidden/>
    <w:unhideWhenUsed/>
    <w:rsid w:val="00A70A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ED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61140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5075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70030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7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Computer</cp:lastModifiedBy>
  <cp:revision>4</cp:revision>
  <cp:lastPrinted>2022-06-10T21:13:00Z</cp:lastPrinted>
  <dcterms:created xsi:type="dcterms:W3CDTF">2022-06-11T00:30:00Z</dcterms:created>
  <dcterms:modified xsi:type="dcterms:W3CDTF">2022-06-11T00:33:00Z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